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7AEA" w14:textId="5307D9E2" w:rsidR="007269F7" w:rsidRDefault="007269F7" w:rsidP="007269F7">
      <w:pPr>
        <w:jc w:val="center"/>
        <w:rPr>
          <w:rStyle w:val="Strong"/>
          <w:rFonts w:ascii="Helvetica Neue" w:hAnsi="Helvetica Neue"/>
          <w:color w:val="333333"/>
          <w:shd w:val="clear" w:color="auto" w:fill="FFFFFF"/>
        </w:rPr>
      </w:pPr>
      <w:r>
        <w:rPr>
          <w:rFonts w:ascii="Helvetica Neue" w:hAnsi="Helvetica Neue"/>
          <w:b/>
          <w:bCs/>
          <w:noProof/>
          <w:color w:val="333333"/>
          <w:shd w:val="clear" w:color="auto" w:fill="FFFFFF"/>
        </w:rPr>
        <w:drawing>
          <wp:inline distT="0" distB="0" distL="0" distR="0" wp14:anchorId="6F3E9BA0" wp14:editId="4B87F6DB">
            <wp:extent cx="2032000" cy="1510106"/>
            <wp:effectExtent l="0" t="0" r="0" b="0"/>
            <wp:docPr id="180269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94228" name="Picture 18026942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1390" cy="1524516"/>
                    </a:xfrm>
                    <a:prstGeom prst="rect">
                      <a:avLst/>
                    </a:prstGeom>
                  </pic:spPr>
                </pic:pic>
              </a:graphicData>
            </a:graphic>
          </wp:inline>
        </w:drawing>
      </w:r>
    </w:p>
    <w:p w14:paraId="48F0330F" w14:textId="77777777" w:rsidR="007269F7" w:rsidRDefault="007269F7">
      <w:pPr>
        <w:rPr>
          <w:rStyle w:val="Strong"/>
          <w:rFonts w:ascii="Helvetica Neue" w:hAnsi="Helvetica Neue"/>
          <w:color w:val="333333"/>
          <w:shd w:val="clear" w:color="auto" w:fill="FFFFFF"/>
        </w:rPr>
      </w:pPr>
    </w:p>
    <w:p w14:paraId="2661F55C" w14:textId="51B93341" w:rsidR="00362A8A" w:rsidRDefault="007269F7">
      <w:r>
        <w:rPr>
          <w:rStyle w:val="Strong"/>
          <w:rFonts w:ascii="Helvetica Neue" w:hAnsi="Helvetica Neue"/>
          <w:color w:val="333333"/>
          <w:shd w:val="clear" w:color="auto" w:fill="FFFFFF"/>
        </w:rPr>
        <w:t>ARTICLE I – GENERAL</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Name – Georgia Cheerleading Coaches’ Association, referred to in this constitution as the GCCA.</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II – PURPOSE</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Goals – The goals of the GCCA shall be to promote, develop, and support cheerleading, cheerleading coaches, and cheer athletes in the state of Georgia, and to advance cheerleading as a sport through the understanding of safety and technical skills and continued development of a working relationship with the Georgia High School Association (GHSA).</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3. Purpose – The purpose of the GCCA is to educate the cheerleading coaches in the state of Georgia </w:t>
      </w:r>
      <w:proofErr w:type="gramStart"/>
      <w:r>
        <w:rPr>
          <w:rFonts w:ascii="Helvetica Neue" w:hAnsi="Helvetica Neue"/>
          <w:color w:val="333333"/>
          <w:shd w:val="clear" w:color="auto" w:fill="FFFFFF"/>
        </w:rPr>
        <w:t>so as to</w:t>
      </w:r>
      <w:proofErr w:type="gramEnd"/>
      <w:r>
        <w:rPr>
          <w:rFonts w:ascii="Helvetica Neue" w:hAnsi="Helvetica Neue"/>
          <w:color w:val="333333"/>
          <w:shd w:val="clear" w:color="auto" w:fill="FFFFFF"/>
        </w:rPr>
        <w:t xml:space="preserve"> improve their skills and technique in working with cheer athletes, both support team and competitive, in the school systems within Georgia. Training will emphasize safety, technical skills, and sportsmanship as discussed and emphasized in the National Federation Spirit Rules book and GHSA publications. In addition, the GCCA will act as a unifying voice for coaches across the state to advance the sport of cheerleading in working with the GHSA.</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Other additional purposes of this organization include recognizing superior cheerleading athletes and coaches through the Cheerleader of the Year / All State Cheerleading Scholarship Program, the Georgia Cheerleading Coach of the Year Award, and the Georgia Cheerleading Team of the Year Award. These awards are made in conjunction with the Georgia Athletic Coaches’ Association (GACA).</w:t>
      </w:r>
      <w:r>
        <w:rPr>
          <w:rFonts w:ascii="Helvetica Neue" w:hAnsi="Helvetica Neue"/>
          <w:color w:val="333333"/>
        </w:rPr>
        <w:br/>
      </w:r>
      <w:r>
        <w:rPr>
          <w:rFonts w:ascii="Helvetica Neue" w:hAnsi="Helvetica Neue"/>
          <w:color w:val="333333"/>
          <w:shd w:val="clear" w:color="auto" w:fill="FFFFFF"/>
        </w:rPr>
        <w:t>The projects of this organization include providing quality spring and summer conferences for the membership of the GCCA.</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4. Mission Statement – “To educate coaches, to communicate sportsmanship, and to promote the advancement of cheerleading in the state of Georgia.”</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III – MEMBERSHIP</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1. Every cheerleading coach in the state of Georgia whose school is a member </w:t>
      </w:r>
      <w:r>
        <w:rPr>
          <w:rFonts w:ascii="Helvetica Neue" w:hAnsi="Helvetica Neue"/>
          <w:color w:val="333333"/>
          <w:shd w:val="clear" w:color="auto" w:fill="FFFFFF"/>
        </w:rPr>
        <w:lastRenderedPageBreak/>
        <w:t>of the GHSA is eligible for membership in the GCCA provided he/she submits to the membership director a written application. The applicant becomes a member in good standing upon payment of yearly dues as determined by the Board of Directors of the GCCA. Middle school coaches, college coaches, lay coaches, non-member GHSA private school coaches, recreation coaches, all-star coaches, and cheer gym owners in the state are encouraged to join the GCCA, but shall have no voting privileges.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2. Honorary members, composed of patrons of the GCCA or those whom the GCCA wishes to honor, may be elected by vote of the Board of Directors or by vote of a majority of active members in the annual spring or summer meeting. Honorary members are invited to attend conferences without </w:t>
      </w:r>
      <w:proofErr w:type="gramStart"/>
      <w:r>
        <w:rPr>
          <w:rFonts w:ascii="Helvetica Neue" w:hAnsi="Helvetica Neue"/>
          <w:color w:val="333333"/>
          <w:shd w:val="clear" w:color="auto" w:fill="FFFFFF"/>
        </w:rPr>
        <w:t>fees, but</w:t>
      </w:r>
      <w:proofErr w:type="gramEnd"/>
      <w:r>
        <w:rPr>
          <w:rFonts w:ascii="Helvetica Neue" w:hAnsi="Helvetica Neue"/>
          <w:color w:val="333333"/>
          <w:shd w:val="clear" w:color="auto" w:fill="FFFFFF"/>
        </w:rPr>
        <w:t xml:space="preserve"> shall have no voting rights.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3. All members who join by the established deadline shall also be joined in the National Federation of State High School Associations (NFHS) and receive the benefits granted therein.</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IV – OFFICERS AND ELECTIONS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A cheer coach having met the requirements of qualifications for membership and service and having entered the point of inclusion in the GCCA Board of Directors (president, first vice-president, second vice-president and past president) who experiences a change in coaching status (i.e. but not limited to, retirement, school transfers, resignations, dismissal, etc.) is afforded the option of continuing in the GCCA ascendancy of service through the natural conclusion of that service in the position of past president.</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The Board of Directors shall serve as the governing body of the GCCA. The Board of Directors shall consist of all officers of the organization and shall conduct the daily business of the GCCA.</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3. If a vacancy should occur for any position on the Board of Directors, it shall be filled by a presidential appointment upon the recommendation of the Board of Directors. In the case of a vacancy, the next vice-president(s) shall ascend, and the lower position shall be filled.</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4. All others who have specific duties in this organization shall be referred to as the Leadership Committee. Examples of Leadership Committee members include, but are not limited </w:t>
      </w:r>
      <w:proofErr w:type="gramStart"/>
      <w:r>
        <w:rPr>
          <w:rFonts w:ascii="Helvetica Neue" w:hAnsi="Helvetica Neue"/>
          <w:color w:val="333333"/>
          <w:shd w:val="clear" w:color="auto" w:fill="FFFFFF"/>
        </w:rPr>
        <w:t>to:</w:t>
      </w:r>
      <w:proofErr w:type="gramEnd"/>
      <w:r>
        <w:rPr>
          <w:rFonts w:ascii="Helvetica Neue" w:hAnsi="Helvetica Neue"/>
          <w:color w:val="333333"/>
          <w:shd w:val="clear" w:color="auto" w:fill="FFFFFF"/>
        </w:rPr>
        <w:t xml:space="preserve"> region representatives, newsletter coordinator, Cheerleader of the Year / All-State Scholarship Coordinator, GACA liaison, Program of the Year Coordinator, vendor representative, and advisory board members.</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V – ELECTIONS AND TERMS OF OFFICE</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1. A nominating committee shall be appointed by the president to present to </w:t>
      </w:r>
      <w:r>
        <w:rPr>
          <w:rFonts w:ascii="Helvetica Neue" w:hAnsi="Helvetica Neue"/>
          <w:color w:val="333333"/>
          <w:shd w:val="clear" w:color="auto" w:fill="FFFFFF"/>
        </w:rPr>
        <w:lastRenderedPageBreak/>
        <w:t>the Board of Directors for approval a slate of officers and Region Representatives to be voted on by the general membership during the annual spring meeting. Each year there shall be an opportunity to nominate individuals for all positions from the floor during this meeting.</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Term of office. The term of office for Leadership Committee members shall be two years.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3. Region representatives. The term of office shall be two years, with a limit of two consecutive terms. The Board of Directors shall have the right to re-nominate region representatives at the end of their first term. Odd-numbered region representatives shall be elected in odd calendar years, and even-numbered region representatives shall be elected in even calendar years. Requirements for being nominated as </w:t>
      </w:r>
      <w:proofErr w:type="gramStart"/>
      <w:r>
        <w:rPr>
          <w:rFonts w:ascii="Helvetica Neue" w:hAnsi="Helvetica Neue"/>
          <w:color w:val="333333"/>
          <w:shd w:val="clear" w:color="auto" w:fill="FFFFFF"/>
        </w:rPr>
        <w:t>an</w:t>
      </w:r>
      <w:proofErr w:type="gramEnd"/>
      <w:r>
        <w:rPr>
          <w:rFonts w:ascii="Helvetica Neue" w:hAnsi="Helvetica Neue"/>
          <w:color w:val="333333"/>
          <w:shd w:val="clear" w:color="auto" w:fill="FFFFFF"/>
        </w:rPr>
        <w:t xml:space="preserve"> region representative include membership in the GCCA for at least two years and having attended at least one spring and one summer conference in that time.</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4. If a vacancy should occur during the term of a Leadership Committee member, it shall be filled by presidential appointment upon the recommendation of the Board of Directors.</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VI – DUTIES AND RESPONSIBILITIES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1. President – The president of the GCCA shall preside at all meetings of the GCCA. The president shall have no voting privileges in general meetings except in the case of a tie vote. </w:t>
      </w:r>
      <w:proofErr w:type="spellStart"/>
      <w:r>
        <w:rPr>
          <w:rFonts w:ascii="Helvetica Neue" w:hAnsi="Helvetica Neue"/>
          <w:color w:val="333333"/>
          <w:shd w:val="clear" w:color="auto" w:fill="FFFFFF"/>
        </w:rPr>
        <w:t>He/She</w:t>
      </w:r>
      <w:proofErr w:type="spellEnd"/>
      <w:r>
        <w:rPr>
          <w:rFonts w:ascii="Helvetica Neue" w:hAnsi="Helvetica Neue"/>
          <w:color w:val="333333"/>
          <w:shd w:val="clear" w:color="auto" w:fill="FFFFFF"/>
        </w:rPr>
        <w:t xml:space="preserve"> shall perform all other duties as naturally appertain to the office of president, including duties pertaining to the spring and summer conferences. The president shall also attend or designate a GCCA representative to attend the GHSA biannual meetings to share the concerns of the GCCA member coaches with the GHSA Cheerleading Committee. The president shall be responsible for delegating various duties to vice-presidents and Leadership Committee members. These various duties include the responsibilities of vendor representative, newsletter coordinator, etc. The president of the GCCA shall be responsible for the official GCCA notebook, which shall serve as the record of the business of the GCCA. This notebook shall be passed on to the incoming president at the annual spring conference. The president shall also be responsible for a discretionary fund in the annual budget as determined by the budget approved by the executive board.</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2. First vice-president – The first vice-president shall perform the duties of the president in the absence or inability of the president.  In the event of the resignation of the president, the first vice-president shall serve for the remaining portion of the term and continue as president for his/her rightful term as president.  The first vice-president shall be responsible for the duties of the treasurer, including the financial records of the GCCA, writing checks on behalf of the GCCA, and preparing financial statements for each meeting and each newsletter.  </w:t>
      </w:r>
      <w:proofErr w:type="spellStart"/>
      <w:r>
        <w:rPr>
          <w:rFonts w:ascii="Helvetica Neue" w:hAnsi="Helvetica Neue"/>
          <w:color w:val="333333"/>
          <w:shd w:val="clear" w:color="auto" w:fill="FFFFFF"/>
        </w:rPr>
        <w:t>He/She</w:t>
      </w:r>
      <w:proofErr w:type="spellEnd"/>
      <w:r>
        <w:rPr>
          <w:rFonts w:ascii="Helvetica Neue" w:hAnsi="Helvetica Neue"/>
          <w:color w:val="333333"/>
          <w:shd w:val="clear" w:color="auto" w:fill="FFFFFF"/>
        </w:rPr>
        <w:t xml:space="preserve"> will also be responsible for submitting </w:t>
      </w:r>
      <w:r>
        <w:rPr>
          <w:rFonts w:ascii="Helvetica Neue" w:hAnsi="Helvetica Neue"/>
          <w:color w:val="333333"/>
          <w:shd w:val="clear" w:color="auto" w:fill="FFFFFF"/>
        </w:rPr>
        <w:lastRenderedPageBreak/>
        <w:t>financial records to a certified public accountant for review during the second year in this office. The first vice-president shall maintain responsibility for communication with the vendor chair and Cheerleader of the Year / All-State Cheerleading Team Scholarship Program Coordinator.  This officer or a designated representative shall attend the GSHA biannual meetings with the president.    </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3. Second vice-president – The second vice-president shall act as director of membership, keeping a roster of members and submitting membership to the National Federation of State High School Associations (NFHS). Responsibilities of this position also include statewide mail outs for membership and preparing and mailing the GCCA directory to all members. The second vice-president shall maintain responsibility for communication with the region representatives, the GACA liaison, the Team of the Year </w:t>
      </w:r>
      <w:proofErr w:type="gramStart"/>
      <w:r>
        <w:rPr>
          <w:rFonts w:ascii="Helvetica Neue" w:hAnsi="Helvetica Neue"/>
          <w:color w:val="333333"/>
          <w:shd w:val="clear" w:color="auto" w:fill="FFFFFF"/>
        </w:rPr>
        <w:t>Coordinator</w:t>
      </w:r>
      <w:proofErr w:type="gramEnd"/>
      <w:r>
        <w:rPr>
          <w:rFonts w:ascii="Helvetica Neue" w:hAnsi="Helvetica Neue"/>
          <w:color w:val="333333"/>
          <w:shd w:val="clear" w:color="auto" w:fill="FFFFFF"/>
        </w:rPr>
        <w:t xml:space="preserve"> and the Newsletter Coordinator. The second vice-president shall act as secretary at all meetings, keeping and presenting minutes and distributing items of interest via email to the membership.</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4. Immediate past president – The immediate past president shall serve at the discretion of the current president as an advisor regarding the business of the GCCA. The past president shall maintain communication with the advisory board.</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5. Region representative – The region representative shall be responsible for communicating all pertinent information to his/her region members. The region representative shall be responsible for soliciting membership and communicating to the GCCA executive committee the concerns of individual coaches in his/her region. Region representatives are expected to attend all spring and summer conferences as well as informational meetings following Board of Directors’ meetings and will be assigned specific duties related to the spring and summer conferences. Region representatives should be instrumental in providing information and education to the coaches in their region and are asked to hold region meetings. Region representatives shall be easily accessible and responsive to their region coaches and the executive board. The preferred means of communication shall be email; therefore, each representative shall have access to and </w:t>
      </w:r>
      <w:proofErr w:type="gramStart"/>
      <w:r>
        <w:rPr>
          <w:rFonts w:ascii="Helvetica Neue" w:hAnsi="Helvetica Neue"/>
          <w:color w:val="333333"/>
          <w:shd w:val="clear" w:color="auto" w:fill="FFFFFF"/>
        </w:rPr>
        <w:t>check regularly</w:t>
      </w:r>
      <w:proofErr w:type="gramEnd"/>
      <w:r>
        <w:rPr>
          <w:rFonts w:ascii="Helvetica Neue" w:hAnsi="Helvetica Neue"/>
          <w:color w:val="333333"/>
          <w:shd w:val="clear" w:color="auto" w:fill="FFFFFF"/>
        </w:rPr>
        <w:t xml:space="preserve"> a viable email address.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6. Advisory board – All past presidents of the GCCA shall be invited to serve as an advisory body to the organization at the request of the Board of Directors and may bring issues of concern to the Board.</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7. Standing committees – The job responsibilities of standing committees shall include sportsmanship/ethics, education/certification, constitution, Cheerleader of the Year / All-State Cheerleading Team, Coach of the Year, publicity, newsletter coordinator, vendor coordinator, GCCA Team of the Year, nominating, and other committees established as needed to perform the business of the GCCA.</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VII – QUORUM AND VOTING</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lastRenderedPageBreak/>
        <w:t xml:space="preserve">Section 1. </w:t>
      </w:r>
      <w:proofErr w:type="gramStart"/>
      <w:r>
        <w:rPr>
          <w:rFonts w:ascii="Helvetica Neue" w:hAnsi="Helvetica Neue"/>
          <w:color w:val="333333"/>
          <w:shd w:val="clear" w:color="auto" w:fill="FFFFFF"/>
        </w:rPr>
        <w:t>A majority of</w:t>
      </w:r>
      <w:proofErr w:type="gramEnd"/>
      <w:r>
        <w:rPr>
          <w:rFonts w:ascii="Helvetica Neue" w:hAnsi="Helvetica Neue"/>
          <w:color w:val="333333"/>
          <w:shd w:val="clear" w:color="auto" w:fill="FFFFFF"/>
        </w:rPr>
        <w:t xml:space="preserve"> the Board of Directors present and/or polled shall be considered a legal quorum to perform the business of the GCCA.</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A majority of those members present at the annual spring and/or summer conference shall be considered a quorum necessary for the business of the GCCA to be conducted. Any member of the GCCA may speak at general business meetings.</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VIII – MEETINGS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The annual spring meeting of the GCCA will be held at the annual spring conference hosted by the GCCA.  The summer meeting will be held in conjunction with Georgia Athletic Coaches’ Association (GACA) summer clinic/conference.  If the GACA does not meet, we will meet as an organization.</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Region representatives are encouraged to plan meetings for their specific region as often as necessary.</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3. The Board of Directors will convene at the spring and summer conferences, in the fall, and at one other meeting to be determined by the president, or as deemed necessary to conduct the business of the GCCA. Leadership Committee members will attend an informational session following each of these meetings.</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IX – DUES</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Each member of the GCCA shall pay a membership fee established by the executive committee. The year for dues shall run from the first day of July to the last day of June. Members registered after the initial membership deadline date will be required to pay graduated dues as established by the executive committee. Membership dues paid after the final membership deadline will disqualify the member from National Federation membership and liability insurance, although all other benefits shall be granted.</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X – AMENDMENTS TO THE CONSTITUTION</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This constitution may be amended by a majority of the active voting members present at the annual spring or summer conference. The proposed amendment must be submitted to the constitution review committee, and the Board of Directors notified at least thirty days prior to the meeting.</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2. The president may call together a constitution review committee to make recommendations to update this constitution as the organization grows. This committee shall include input from the advisory board as well as upcoming officers. Proposed amendments must be approved by the general membership as outlined in Section 1.</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lastRenderedPageBreak/>
        <w:t>ARTICLE XI – DISSOLUTION</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Section 1. In the event this organization is dissolved, its assets will be turned over to one or more organizations which are exempt organizations described in sections 501 (C) (3) and 170 (C) (2) of the Internal Code of 1954 or corresponding section of any prior or future Internal Revenue Code, or to the federal, state, or local government for exclusive public purposes. The GCCA is a non-profit organization, which operates exclusively for the purposes set forth in section 501 (C) (4) of the Internal Revenue Code of 1954.</w:t>
      </w:r>
      <w:r>
        <w:rPr>
          <w:rFonts w:ascii="Helvetica Neue" w:hAnsi="Helvetica Neue"/>
          <w:color w:val="333333"/>
        </w:rPr>
        <w:br/>
      </w:r>
      <w:r>
        <w:rPr>
          <w:rFonts w:ascii="Helvetica Neue" w:hAnsi="Helvetica Neue"/>
          <w:color w:val="333333"/>
        </w:rPr>
        <w:br/>
      </w:r>
      <w:r>
        <w:rPr>
          <w:rStyle w:val="Strong"/>
          <w:rFonts w:ascii="Helvetica Neue" w:hAnsi="Helvetica Neue"/>
          <w:color w:val="333333"/>
          <w:shd w:val="clear" w:color="auto" w:fill="FFFFFF"/>
        </w:rPr>
        <w:t>ARTICLE XII – REMOVAL FROM OFFICE</w:t>
      </w:r>
      <w:r>
        <w:rPr>
          <w:rFonts w:ascii="Helvetica Neue" w:hAnsi="Helvetica Neue"/>
          <w:color w:val="333333"/>
        </w:rPr>
        <w:br/>
      </w:r>
      <w:r>
        <w:rPr>
          <w:rFonts w:ascii="Helvetica Neue" w:hAnsi="Helvetica Neue"/>
          <w:color w:val="333333"/>
        </w:rPr>
        <w:br/>
      </w:r>
      <w:r>
        <w:rPr>
          <w:rFonts w:ascii="Helvetica Neue" w:hAnsi="Helvetica Neue"/>
          <w:color w:val="333333"/>
          <w:shd w:val="clear" w:color="auto" w:fill="FFFFFF"/>
        </w:rPr>
        <w:t xml:space="preserve">Section 1. Any officer or committee member may be impeached from office on recommendation by the Board of Directors and a majority vote by the Board of Directors and Leadership Committee. Any vacancy occurring </w:t>
      </w:r>
      <w:proofErr w:type="gramStart"/>
      <w:r>
        <w:rPr>
          <w:rFonts w:ascii="Helvetica Neue" w:hAnsi="Helvetica Neue"/>
          <w:color w:val="333333"/>
          <w:shd w:val="clear" w:color="auto" w:fill="FFFFFF"/>
        </w:rPr>
        <w:t>as a result of</w:t>
      </w:r>
      <w:proofErr w:type="gramEnd"/>
      <w:r>
        <w:rPr>
          <w:rFonts w:ascii="Helvetica Neue" w:hAnsi="Helvetica Neue"/>
          <w:color w:val="333333"/>
          <w:shd w:val="clear" w:color="auto" w:fill="FFFFFF"/>
        </w:rPr>
        <w:t xml:space="preserve"> impeachment will be filled by presidential appointment for the remainder of the term.</w:t>
      </w:r>
    </w:p>
    <w:sectPr w:rsidR="00362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F7"/>
    <w:rsid w:val="00362A8A"/>
    <w:rsid w:val="005B12D3"/>
    <w:rsid w:val="0072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0762A"/>
  <w15:chartTrackingRefBased/>
  <w15:docId w15:val="{34D54A68-9325-444E-9A0B-B7867A4D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6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Floyd</dc:creator>
  <cp:keywords/>
  <dc:description/>
  <cp:lastModifiedBy>Robert Floyd</cp:lastModifiedBy>
  <cp:revision>1</cp:revision>
  <dcterms:created xsi:type="dcterms:W3CDTF">2023-06-12T19:05:00Z</dcterms:created>
  <dcterms:modified xsi:type="dcterms:W3CDTF">2023-06-12T19:06:00Z</dcterms:modified>
</cp:coreProperties>
</file>